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rPr/>
      </w:pPr>
      <w:bookmarkStart w:colFirst="0" w:colLast="0" w:name="_7frqdsidfh61" w:id="0"/>
      <w:bookmarkEnd w:id="0"/>
      <w:r w:rsidDel="00000000" w:rsidR="00000000" w:rsidRPr="00000000">
        <w:rPr>
          <w:rtl w:val="0"/>
        </w:rPr>
        <w:t xml:space="preserve">DESIGN MANUÁL - HANDBALL ÚVALY</w:t>
      </w:r>
    </w:p>
    <w:p w:rsidR="00000000" w:rsidDel="00000000" w:rsidP="00000000" w:rsidRDefault="00000000" w:rsidRPr="00000000" w14:paraId="0000000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Tento dokument slouží jako základní přehled pravidel pro používání vizuální identity klubu Handball Úvaly v offline a tiskové komunikaci. Je určen všem, kteří vytvářejí tiskoviny, potisk oblečení, merchandising, reklamní předměty nebo jiné fyzické výstupy spojené s klubem. Vizuální přehled můžete najít </w:t>
      </w:r>
      <w:hyperlink r:id="rId6">
        <w:r w:rsidDel="00000000" w:rsidR="00000000" w:rsidRPr="00000000">
          <w:rPr>
            <w:color w:val="1155cc"/>
            <w:u w:val="single"/>
            <w:rtl w:val="0"/>
          </w:rPr>
          <w:t xml:space="preserve">zde</w:t>
        </w:r>
      </w:hyperlink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0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Cílem je zajistit jednotnou, profesionální a dlouhodobě udržitelnou prezentaci značky. Dodržování těchto pravidel pomáhá budovat silnou a důvěryhodnou identitu, která je na první pohled rozpoznatelná.</w:t>
      </w:r>
    </w:p>
    <w:p w:rsidR="00000000" w:rsidDel="00000000" w:rsidP="00000000" w:rsidRDefault="00000000" w:rsidRPr="00000000" w14:paraId="0000000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Dokument není určen pro správu sociálních sítí ani digitální grafiku – tyto oblasti mají vlastní koncepci a řízení.</w:t>
      </w:r>
    </w:p>
    <w:p w:rsidR="00000000" w:rsidDel="00000000" w:rsidP="00000000" w:rsidRDefault="00000000" w:rsidRPr="00000000" w14:paraId="0000000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V případě jakýchkoliv dotazů nebo potřeby řešení, které není v souladu s tímto manuálem, prosím vše předem konzultovat s Tadeášem Hejnicem (tadeas.hejnic@handballuvaly.cz).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Style w:val="Heading2"/>
        <w:rPr/>
      </w:pPr>
      <w:bookmarkStart w:colFirst="0" w:colLast="0" w:name="_1sxbd3tset25" w:id="1"/>
      <w:bookmarkEnd w:id="1"/>
      <w:r w:rsidDel="00000000" w:rsidR="00000000" w:rsidRPr="00000000">
        <w:rPr>
          <w:rtl w:val="0"/>
        </w:rPr>
        <w:t xml:space="preserve">Základní přehled</w:t>
      </w:r>
    </w:p>
    <w:p w:rsidR="00000000" w:rsidDel="00000000" w:rsidP="00000000" w:rsidRDefault="00000000" w:rsidRPr="00000000" w14:paraId="00000009">
      <w:pPr>
        <w:numPr>
          <w:ilvl w:val="0"/>
          <w:numId w:val="4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název: Handball Úvaly</w:t>
      </w:r>
    </w:p>
    <w:p w:rsidR="00000000" w:rsidDel="00000000" w:rsidP="00000000" w:rsidRDefault="00000000" w:rsidRPr="00000000" w14:paraId="0000000A">
      <w:pPr>
        <w:numPr>
          <w:ilvl w:val="0"/>
          <w:numId w:val="3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slogan: víc než jen sport</w:t>
      </w:r>
    </w:p>
    <w:p w:rsidR="00000000" w:rsidDel="00000000" w:rsidP="00000000" w:rsidRDefault="00000000" w:rsidRPr="00000000" w14:paraId="0000000B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Co je považováno za oficiální výstup klubu?</w:t>
      </w:r>
    </w:p>
    <w:p w:rsidR="00000000" w:rsidDel="00000000" w:rsidP="00000000" w:rsidRDefault="00000000" w:rsidRPr="00000000" w14:paraId="0000000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Za oficiální výstup klubu se považují zejména:</w:t>
      </w:r>
    </w:p>
    <w:p w:rsidR="00000000" w:rsidDel="00000000" w:rsidP="00000000" w:rsidRDefault="00000000" w:rsidRPr="00000000" w14:paraId="0000000E">
      <w:pPr>
        <w:numPr>
          <w:ilvl w:val="0"/>
          <w:numId w:val="7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veškeré klubové oblečení (zápasové, tréninkové i volnočasové),</w:t>
      </w:r>
    </w:p>
    <w:p w:rsidR="00000000" w:rsidDel="00000000" w:rsidP="00000000" w:rsidRDefault="00000000" w:rsidRPr="00000000" w14:paraId="0000000F">
      <w:pPr>
        <w:numPr>
          <w:ilvl w:val="0"/>
          <w:numId w:val="7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fanouškovské předměty a merchandising,</w:t>
      </w:r>
    </w:p>
    <w:p w:rsidR="00000000" w:rsidDel="00000000" w:rsidP="00000000" w:rsidRDefault="00000000" w:rsidRPr="00000000" w14:paraId="00000010">
      <w:pPr>
        <w:numPr>
          <w:ilvl w:val="0"/>
          <w:numId w:val="7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reklamní bannery, roll-upy, polepy a další velkoformátové prvky,</w:t>
      </w:r>
    </w:p>
    <w:p w:rsidR="00000000" w:rsidDel="00000000" w:rsidP="00000000" w:rsidRDefault="00000000" w:rsidRPr="00000000" w14:paraId="00000011">
      <w:pPr>
        <w:numPr>
          <w:ilvl w:val="0"/>
          <w:numId w:val="7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plakáty, tiskoviny a jiné fyzické materiály propagující klub,</w:t>
      </w:r>
    </w:p>
    <w:p w:rsidR="00000000" w:rsidDel="00000000" w:rsidP="00000000" w:rsidRDefault="00000000" w:rsidRPr="00000000" w14:paraId="00000012">
      <w:pPr>
        <w:numPr>
          <w:ilvl w:val="0"/>
          <w:numId w:val="7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jakékoliv další tištěné nebo hmotné výstupy nesoucí logo Handball Úvaly.</w:t>
      </w:r>
    </w:p>
    <w:p w:rsidR="00000000" w:rsidDel="00000000" w:rsidP="00000000" w:rsidRDefault="00000000" w:rsidRPr="00000000" w14:paraId="0000001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Na všechny výše uvedené materiály se vztahují pravidla tohoto manuálu.</w:t>
      </w:r>
    </w:p>
    <w:p w:rsidR="00000000" w:rsidDel="00000000" w:rsidP="00000000" w:rsidRDefault="00000000" w:rsidRPr="00000000" w14:paraId="00000014">
      <w:pPr>
        <w:spacing w:after="240" w:befor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Možnosti odchýlení od manuálu</w:t>
      </w:r>
    </w:p>
    <w:p w:rsidR="00000000" w:rsidDel="00000000" w:rsidP="00000000" w:rsidRDefault="00000000" w:rsidRPr="00000000" w14:paraId="0000001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Odchýlení od těchto pravidel je možné pouze v následujících případech:</w:t>
      </w:r>
    </w:p>
    <w:p w:rsidR="00000000" w:rsidDel="00000000" w:rsidP="00000000" w:rsidRDefault="00000000" w:rsidRPr="00000000" w14:paraId="00000017">
      <w:pPr>
        <w:numPr>
          <w:ilvl w:val="0"/>
          <w:numId w:val="5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samostatné kolekce (např. výroční, limitované nebo tematické edice),</w:t>
      </w:r>
    </w:p>
    <w:p w:rsidR="00000000" w:rsidDel="00000000" w:rsidP="00000000" w:rsidRDefault="00000000" w:rsidRPr="00000000" w14:paraId="00000018">
      <w:pPr>
        <w:numPr>
          <w:ilvl w:val="0"/>
          <w:numId w:val="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grafika spojená se speciální akcí, která má vlastní schválený grafický manuál,</w:t>
      </w:r>
    </w:p>
    <w:p w:rsidR="00000000" w:rsidDel="00000000" w:rsidP="00000000" w:rsidRDefault="00000000" w:rsidRPr="00000000" w14:paraId="00000019">
      <w:pPr>
        <w:numPr>
          <w:ilvl w:val="0"/>
          <w:numId w:val="5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jiné individuální případy po předchozí konzultaci a schválení Tadeášem Hejnicem.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pStyle w:val="Heading2"/>
        <w:rPr/>
      </w:pPr>
      <w:bookmarkStart w:colFirst="0" w:colLast="0" w:name="_u5dxsq56scs0" w:id="2"/>
      <w:bookmarkEnd w:id="2"/>
      <w:r w:rsidDel="00000000" w:rsidR="00000000" w:rsidRPr="00000000">
        <w:rPr>
          <w:rtl w:val="0"/>
        </w:rPr>
        <w:t xml:space="preserve">Logo</w:t>
      </w:r>
    </w:p>
    <w:p w:rsidR="00000000" w:rsidDel="00000000" w:rsidP="00000000" w:rsidRDefault="00000000" w:rsidRPr="00000000" w14:paraId="0000001D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Oficiální verze loga</w:t>
      </w:r>
    </w:p>
    <w:p w:rsidR="00000000" w:rsidDel="00000000" w:rsidP="00000000" w:rsidRDefault="00000000" w:rsidRPr="00000000" w14:paraId="0000001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Pro práci s logem používejte výhradně oficiální soubory dostupné v </w:t>
      </w:r>
      <w:hyperlink r:id="rId7">
        <w:r w:rsidDel="00000000" w:rsidR="00000000" w:rsidRPr="00000000">
          <w:rPr>
            <w:color w:val="1155cc"/>
            <w:u w:val="single"/>
            <w:rtl w:val="0"/>
          </w:rPr>
          <w:t xml:space="preserve">této sdílené složce</w:t>
        </w:r>
      </w:hyperlink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1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Na konci roku 2025 proběhla drobná úprava loga. Veškeré nové potisky, výroba oblečení i další fyzické výstupy musí používat již tuto aktuální verzi loga.</w:t>
      </w:r>
    </w:p>
    <w:p w:rsidR="00000000" w:rsidDel="00000000" w:rsidP="00000000" w:rsidRDefault="00000000" w:rsidRPr="00000000" w14:paraId="0000002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Logo je k dispozici ve třech variantách:</w:t>
      </w:r>
    </w:p>
    <w:p w:rsidR="00000000" w:rsidDel="00000000" w:rsidP="00000000" w:rsidRDefault="00000000" w:rsidRPr="00000000" w14:paraId="00000021">
      <w:pPr>
        <w:numPr>
          <w:ilvl w:val="0"/>
          <w:numId w:val="2"/>
        </w:numPr>
        <w:spacing w:after="0" w:afterAutospacing="0" w:before="24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Klasická verze</w:t>
      </w:r>
    </w:p>
    <w:p w:rsidR="00000000" w:rsidDel="00000000" w:rsidP="00000000" w:rsidRDefault="00000000" w:rsidRPr="00000000" w14:paraId="00000022">
      <w:pPr>
        <w:numPr>
          <w:ilvl w:val="0"/>
          <w:numId w:val="2"/>
        </w:numPr>
        <w:spacing w:after="0" w:afterAutospacing="0" w:before="0" w:beforeAutospacing="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Horizontální verze</w:t>
      </w:r>
    </w:p>
    <w:p w:rsidR="00000000" w:rsidDel="00000000" w:rsidP="00000000" w:rsidRDefault="00000000" w:rsidRPr="00000000" w14:paraId="00000023">
      <w:pPr>
        <w:numPr>
          <w:ilvl w:val="0"/>
          <w:numId w:val="2"/>
        </w:numPr>
        <w:spacing w:after="240" w:before="0" w:beforeAutospacing="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Jednoduchá verze</w:t>
      </w:r>
    </w:p>
    <w:p w:rsidR="00000000" w:rsidDel="00000000" w:rsidP="00000000" w:rsidRDefault="00000000" w:rsidRPr="00000000" w14:paraId="0000002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Hlavní a preferovanou variantou je klasické červené logo. Ostatní verze je možné použít s ohledem na podklad, dostupný prostor a technické možnosti výroby.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Ochranná zóna</w:t>
      </w:r>
    </w:p>
    <w:p w:rsidR="00000000" w:rsidDel="00000000" w:rsidP="00000000" w:rsidRDefault="00000000" w:rsidRPr="00000000" w14:paraId="00000027">
      <w:pPr>
        <w:spacing w:after="240" w:before="240" w:lineRule="auto"/>
        <w:ind w:left="0" w:firstLine="0"/>
        <w:rPr/>
      </w:pPr>
      <w:r w:rsidDel="00000000" w:rsidR="00000000" w:rsidRPr="00000000">
        <w:rPr>
          <w:rtl w:val="0"/>
        </w:rPr>
        <w:t xml:space="preserve">Při použití loga je nutné dodržovat ochrannou zónu a ponechat kolem loga dostatečný volný prostor.</w:t>
      </w:r>
    </w:p>
    <w:p w:rsidR="00000000" w:rsidDel="00000000" w:rsidP="00000000" w:rsidRDefault="00000000" w:rsidRPr="00000000" w14:paraId="00000028">
      <w:pPr>
        <w:spacing w:after="240" w:before="240" w:lineRule="auto"/>
        <w:ind w:left="0" w:firstLine="0"/>
        <w:rPr/>
      </w:pPr>
      <w:r w:rsidDel="00000000" w:rsidR="00000000" w:rsidRPr="00000000">
        <w:rPr>
          <w:rtl w:val="0"/>
        </w:rPr>
        <w:t xml:space="preserve">Do této zóny nesmí zasahovat žádný text, grafický prvek, fotografie ani jiné logo.</w:t>
      </w:r>
    </w:p>
    <w:p w:rsidR="00000000" w:rsidDel="00000000" w:rsidP="00000000" w:rsidRDefault="00000000" w:rsidRPr="00000000" w14:paraId="00000029">
      <w:pPr>
        <w:spacing w:after="240" w:before="240" w:lineRule="auto"/>
        <w:ind w:left="0" w:firstLine="0"/>
        <w:rPr/>
      </w:pPr>
      <w:r w:rsidDel="00000000" w:rsidR="00000000" w:rsidRPr="00000000">
        <w:rPr>
          <w:rtl w:val="0"/>
        </w:rPr>
        <w:t xml:space="preserve">Cílem je zachovat čitelnost a vizuální sílu značky.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Minimální velikost</w:t>
      </w:r>
    </w:p>
    <w:p w:rsidR="00000000" w:rsidDel="00000000" w:rsidP="00000000" w:rsidRDefault="00000000" w:rsidRPr="00000000" w14:paraId="0000002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Minimální velikost loga není pevně stanovena jedním rozměrem, vždy však musí být zachována jeho plná čitelnost.</w:t>
      </w:r>
    </w:p>
    <w:p w:rsidR="00000000" w:rsidDel="00000000" w:rsidP="00000000" w:rsidRDefault="00000000" w:rsidRPr="00000000" w14:paraId="0000002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Při zmenšování loga je nutné zohlednit:</w:t>
      </w:r>
    </w:p>
    <w:p w:rsidR="00000000" w:rsidDel="00000000" w:rsidP="00000000" w:rsidRDefault="00000000" w:rsidRPr="00000000" w14:paraId="0000002E">
      <w:pPr>
        <w:numPr>
          <w:ilvl w:val="0"/>
          <w:numId w:val="1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způsob tisku (potisk, výšivka, sublimace apod.),</w:t>
      </w:r>
    </w:p>
    <w:p w:rsidR="00000000" w:rsidDel="00000000" w:rsidP="00000000" w:rsidRDefault="00000000" w:rsidRPr="00000000" w14:paraId="0000002F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vzdálenost pozorování,</w:t>
      </w:r>
    </w:p>
    <w:p w:rsidR="00000000" w:rsidDel="00000000" w:rsidP="00000000" w:rsidRDefault="00000000" w:rsidRPr="00000000" w14:paraId="00000030">
      <w:pPr>
        <w:numPr>
          <w:ilvl w:val="0"/>
          <w:numId w:val="1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detailnost podkladu.</w:t>
      </w:r>
    </w:p>
    <w:p w:rsidR="00000000" w:rsidDel="00000000" w:rsidP="00000000" w:rsidRDefault="00000000" w:rsidRPr="00000000" w14:paraId="0000003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Logo nesmí být použito v takové velikosti, kdy dochází ke ztrátě čitelnosti nebo deformaci detailů.</w:t>
      </w:r>
    </w:p>
    <w:p w:rsidR="00000000" w:rsidDel="00000000" w:rsidP="00000000" w:rsidRDefault="00000000" w:rsidRPr="00000000" w14:paraId="0000003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Zakázané použití</w:t>
      </w:r>
    </w:p>
    <w:p w:rsidR="00000000" w:rsidDel="00000000" w:rsidP="00000000" w:rsidRDefault="00000000" w:rsidRPr="00000000" w14:paraId="0000003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Není povoleno:</w:t>
      </w:r>
    </w:p>
    <w:p w:rsidR="00000000" w:rsidDel="00000000" w:rsidP="00000000" w:rsidRDefault="00000000" w:rsidRPr="00000000" w14:paraId="00000035">
      <w:pPr>
        <w:numPr>
          <w:ilvl w:val="0"/>
          <w:numId w:val="8"/>
        </w:numPr>
        <w:spacing w:after="0" w:afterAutospacing="0" w:before="24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používat jiné verze loga než ty, které jsou dostupné v oficiální složce,</w:t>
      </w:r>
    </w:p>
    <w:p w:rsidR="00000000" w:rsidDel="00000000" w:rsidP="00000000" w:rsidRDefault="00000000" w:rsidRPr="00000000" w14:paraId="00000036">
      <w:pPr>
        <w:numPr>
          <w:ilvl w:val="0"/>
          <w:numId w:val="8"/>
        </w:numPr>
        <w:spacing w:after="0" w:afterAutospacing="0" w:before="0" w:beforeAutospacing="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měnit proporce loga (natahování, deformace),</w:t>
      </w:r>
    </w:p>
    <w:p w:rsidR="00000000" w:rsidDel="00000000" w:rsidP="00000000" w:rsidRDefault="00000000" w:rsidRPr="00000000" w14:paraId="00000037">
      <w:pPr>
        <w:numPr>
          <w:ilvl w:val="0"/>
          <w:numId w:val="8"/>
        </w:numPr>
        <w:spacing w:after="0" w:afterAutospacing="0" w:before="0" w:beforeAutospacing="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měnit barevnost loga mimo schválené varianty,</w:t>
      </w:r>
    </w:p>
    <w:p w:rsidR="00000000" w:rsidDel="00000000" w:rsidP="00000000" w:rsidRDefault="00000000" w:rsidRPr="00000000" w14:paraId="00000038">
      <w:pPr>
        <w:numPr>
          <w:ilvl w:val="0"/>
          <w:numId w:val="8"/>
        </w:numPr>
        <w:spacing w:after="0" w:afterAutospacing="0" w:before="0" w:beforeAutospacing="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přidávat efekty (stíny, obrysy, přechody, textury apod.),</w:t>
      </w:r>
    </w:p>
    <w:p w:rsidR="00000000" w:rsidDel="00000000" w:rsidP="00000000" w:rsidRDefault="00000000" w:rsidRPr="00000000" w14:paraId="00000039">
      <w:pPr>
        <w:numPr>
          <w:ilvl w:val="0"/>
          <w:numId w:val="8"/>
        </w:numPr>
        <w:spacing w:after="240" w:before="0" w:beforeAutospacing="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používat logo bez dostatečného kontrastu vůči podkladu, pokud není záměrně využito jako dekorativní nebo podkladový prvek po předchozím schválení.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pStyle w:val="Heading2"/>
        <w:rPr/>
      </w:pPr>
      <w:bookmarkStart w:colFirst="0" w:colLast="0" w:name="_v8620f9qkbc4" w:id="3"/>
      <w:bookmarkEnd w:id="3"/>
      <w:r w:rsidDel="00000000" w:rsidR="00000000" w:rsidRPr="00000000">
        <w:rPr>
          <w:rtl w:val="0"/>
        </w:rPr>
        <w:t xml:space="preserve">Barvy</w:t>
      </w:r>
    </w:p>
    <w:p w:rsidR="00000000" w:rsidDel="00000000" w:rsidP="00000000" w:rsidRDefault="00000000" w:rsidRPr="00000000" w14:paraId="0000003B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Primární barvy:</w:t>
      </w:r>
    </w:p>
    <w:p w:rsidR="00000000" w:rsidDel="00000000" w:rsidP="00000000" w:rsidRDefault="00000000" w:rsidRPr="00000000" w14:paraId="0000003C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rPr/>
      </w:pPr>
      <w:r w:rsidDel="00000000" w:rsidR="00000000" w:rsidRPr="00000000">
        <w:rPr>
          <w:rtl w:val="0"/>
        </w:rPr>
        <w:t xml:space="preserve">Hlavní barvou klubu Handball Úvaly je červená.</w:t>
      </w:r>
    </w:p>
    <w:p w:rsidR="00000000" w:rsidDel="00000000" w:rsidP="00000000" w:rsidRDefault="00000000" w:rsidRPr="00000000" w14:paraId="0000003E">
      <w:pPr>
        <w:spacing w:after="240" w:before="240" w:lineRule="auto"/>
        <w:rPr/>
      </w:pPr>
      <w:r w:rsidDel="00000000" w:rsidR="00000000" w:rsidRPr="00000000">
        <w:rPr>
          <w:u w:val="single"/>
          <w:rtl w:val="0"/>
        </w:rPr>
        <w:t xml:space="preserve">Primární červená</w:t>
      </w:r>
      <w:r w:rsidDel="00000000" w:rsidR="00000000" w:rsidRPr="00000000">
        <w:rPr>
          <w:rtl w:val="0"/>
        </w:rPr>
        <w:t xml:space="preserve">:</w:t>
      </w:r>
      <w:r w:rsidDel="00000000" w:rsidR="00000000" w:rsidRPr="00000000">
        <w:rPr>
          <w:b w:val="1"/>
          <w:bCs w:val="1"/>
          <w:rtl w:val="0"/>
        </w:rPr>
        <w:br w:type="textWrapping"/>
        <w:tab/>
      </w:r>
      <w:r w:rsidDel="00000000" w:rsidR="00000000" w:rsidRPr="00000000">
        <w:rPr>
          <w:rtl w:val="0"/>
        </w:rPr>
        <w:t xml:space="preserve">HEX: #D90202</w:t>
        <w:br w:type="textWrapping"/>
        <w:tab/>
        <w:t xml:space="preserve">CMYK: 0 / 99 / 99 / 15</w:t>
      </w:r>
    </w:p>
    <w:p w:rsidR="00000000" w:rsidDel="00000000" w:rsidP="00000000" w:rsidRDefault="00000000" w:rsidRPr="00000000" w14:paraId="0000003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Tato barva by měla být dominantní ve všech oficiálních výstupech klubu.</w:t>
      </w:r>
    </w:p>
    <w:p w:rsidR="00000000" w:rsidDel="00000000" w:rsidP="00000000" w:rsidRDefault="00000000" w:rsidRPr="00000000" w14:paraId="00000040">
      <w:pPr>
        <w:spacing w:after="240" w:befor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Sekundární barvy:</w:t>
      </w:r>
    </w:p>
    <w:p w:rsidR="00000000" w:rsidDel="00000000" w:rsidP="00000000" w:rsidRDefault="00000000" w:rsidRPr="00000000" w14:paraId="00000042">
      <w:pPr>
        <w:spacing w:after="240" w:before="240" w:lineRule="auto"/>
        <w:rPr/>
      </w:pPr>
      <w:r w:rsidDel="00000000" w:rsidR="00000000" w:rsidRPr="00000000">
        <w:rPr>
          <w:u w:val="single"/>
          <w:rtl w:val="0"/>
        </w:rPr>
        <w:t xml:space="preserve">Bílá:</w:t>
      </w:r>
      <w:r w:rsidDel="00000000" w:rsidR="00000000" w:rsidRPr="00000000">
        <w:rPr>
          <w:b w:val="1"/>
          <w:bCs w:val="1"/>
          <w:rtl w:val="0"/>
        </w:rPr>
        <w:br w:type="textWrapping"/>
        <w:tab/>
      </w:r>
      <w:r w:rsidDel="00000000" w:rsidR="00000000" w:rsidRPr="00000000">
        <w:rPr>
          <w:rtl w:val="0"/>
        </w:rPr>
        <w:t xml:space="preserve">HEX: #FFFFFF</w:t>
      </w:r>
    </w:p>
    <w:p w:rsidR="00000000" w:rsidDel="00000000" w:rsidP="00000000" w:rsidRDefault="00000000" w:rsidRPr="00000000" w14:paraId="00000043">
      <w:pPr>
        <w:spacing w:after="240" w:before="240" w:lineRule="auto"/>
        <w:rPr/>
      </w:pPr>
      <w:r w:rsidDel="00000000" w:rsidR="00000000" w:rsidRPr="00000000">
        <w:rPr>
          <w:u w:val="single"/>
          <w:rtl w:val="0"/>
        </w:rPr>
        <w:t xml:space="preserve">Černá:</w:t>
      </w:r>
      <w:r w:rsidDel="00000000" w:rsidR="00000000" w:rsidRPr="00000000">
        <w:rPr>
          <w:b w:val="1"/>
          <w:bCs w:val="1"/>
          <w:rtl w:val="0"/>
        </w:rPr>
        <w:br w:type="textWrapping"/>
        <w:tab/>
      </w:r>
      <w:r w:rsidDel="00000000" w:rsidR="00000000" w:rsidRPr="00000000">
        <w:rPr>
          <w:rtl w:val="0"/>
        </w:rPr>
        <w:t xml:space="preserve">HEX: #000000</w:t>
      </w:r>
    </w:p>
    <w:p w:rsidR="00000000" w:rsidDel="00000000" w:rsidP="00000000" w:rsidRDefault="00000000" w:rsidRPr="00000000" w14:paraId="0000004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Bílá a černá slouží jako základní doplňkové barvy pro práci s kontrastem, textem a podkladem.</w:t>
      </w:r>
    </w:p>
    <w:p w:rsidR="00000000" w:rsidDel="00000000" w:rsidP="00000000" w:rsidRDefault="00000000" w:rsidRPr="00000000" w14:paraId="00000045">
      <w:pPr>
        <w:keepNext w:val="0"/>
        <w:keepLines w:val="0"/>
        <w:spacing w:after="80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keepNext w:val="0"/>
        <w:keepLines w:val="0"/>
        <w:spacing w:after="8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Doplňkové odstíny</w:t>
      </w:r>
    </w:p>
    <w:p w:rsidR="00000000" w:rsidDel="00000000" w:rsidP="00000000" w:rsidRDefault="00000000" w:rsidRPr="00000000" w14:paraId="0000004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Doplňkové barvy nejsou určeny jako primární barvy výstupu. Slouží výhradně jako podkladové nebo tónovací varianty pro vytvoření hloubky, struktury nebo jemného odlišení ploch.</w:t>
      </w:r>
    </w:p>
    <w:p w:rsidR="00000000" w:rsidDel="00000000" w:rsidP="00000000" w:rsidRDefault="00000000" w:rsidRPr="00000000" w14:paraId="0000004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Doplňkové odstíny je vždy nutné používat pouze v kombinaci s příslušnou primární barvou.</w:t>
      </w:r>
    </w:p>
    <w:p w:rsidR="00000000" w:rsidDel="00000000" w:rsidP="00000000" w:rsidRDefault="00000000" w:rsidRPr="00000000" w14:paraId="0000004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Není povoleno kombinovat primární červenou s doplňkovým odstínem určeným k bílé barvě (např. šedou), ani jinak míchat doplňkové odstíny mimo jejich definovanou kombinaci.</w:t>
      </w:r>
    </w:p>
    <w:p w:rsidR="00000000" w:rsidDel="00000000" w:rsidP="00000000" w:rsidRDefault="00000000" w:rsidRPr="00000000" w14:paraId="0000004A">
      <w:pPr>
        <w:spacing w:after="240" w:before="240" w:lineRule="auto"/>
        <w:rPr/>
      </w:pPr>
      <w:r w:rsidDel="00000000" w:rsidR="00000000" w:rsidRPr="00000000">
        <w:rPr>
          <w:u w:val="single"/>
          <w:rtl w:val="0"/>
        </w:rPr>
        <w:t xml:space="preserve">Doplňková k červené:</w:t>
      </w:r>
      <w:r w:rsidDel="00000000" w:rsidR="00000000" w:rsidRPr="00000000">
        <w:rPr>
          <w:b w:val="1"/>
          <w:bCs w:val="1"/>
          <w:rtl w:val="0"/>
        </w:rPr>
        <w:br w:type="textWrapping"/>
        <w:tab/>
      </w:r>
      <w:r w:rsidDel="00000000" w:rsidR="00000000" w:rsidRPr="00000000">
        <w:rPr>
          <w:rtl w:val="0"/>
        </w:rPr>
        <w:t xml:space="preserve">HEX: #C70B10</w:t>
        <w:br w:type="textWrapping"/>
        <w:tab/>
        <w:t xml:space="preserve">CMYK: 0 / 94 / 92 / 22</w:t>
      </w:r>
    </w:p>
    <w:p w:rsidR="00000000" w:rsidDel="00000000" w:rsidP="00000000" w:rsidRDefault="00000000" w:rsidRPr="00000000" w14:paraId="0000004B">
      <w:pPr>
        <w:spacing w:after="240" w:before="240" w:lineRule="auto"/>
        <w:rPr/>
      </w:pPr>
      <w:r w:rsidDel="00000000" w:rsidR="00000000" w:rsidRPr="00000000">
        <w:rPr>
          <w:u w:val="single"/>
          <w:rtl w:val="0"/>
        </w:rPr>
        <w:t xml:space="preserve">Doplňková k bílé:</w:t>
      </w:r>
      <w:r w:rsidDel="00000000" w:rsidR="00000000" w:rsidRPr="00000000">
        <w:rPr>
          <w:b w:val="1"/>
          <w:bCs w:val="1"/>
          <w:rtl w:val="0"/>
        </w:rPr>
        <w:br w:type="textWrapping"/>
        <w:tab/>
      </w:r>
      <w:r w:rsidDel="00000000" w:rsidR="00000000" w:rsidRPr="00000000">
        <w:rPr>
          <w:rtl w:val="0"/>
        </w:rPr>
        <w:t xml:space="preserve">HEX: #EEEEEE</w:t>
      </w:r>
    </w:p>
    <w:p w:rsidR="00000000" w:rsidDel="00000000" w:rsidP="00000000" w:rsidRDefault="00000000" w:rsidRPr="00000000" w14:paraId="0000004C">
      <w:pPr>
        <w:spacing w:after="240" w:befor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pStyle w:val="Heading2"/>
        <w:spacing w:after="240" w:before="240" w:lineRule="auto"/>
        <w:rPr/>
      </w:pPr>
      <w:bookmarkStart w:colFirst="0" w:colLast="0" w:name="_ye34hl9yy8fe" w:id="4"/>
      <w:bookmarkEnd w:id="4"/>
      <w:r w:rsidDel="00000000" w:rsidR="00000000" w:rsidRPr="00000000">
        <w:rPr>
          <w:rtl w:val="0"/>
        </w:rPr>
        <w:t xml:space="preserve">Typografie</w:t>
      </w:r>
    </w:p>
    <w:p w:rsidR="00000000" w:rsidDel="00000000" w:rsidP="00000000" w:rsidRDefault="00000000" w:rsidRPr="00000000" w14:paraId="0000004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V </w:t>
      </w:r>
      <w:hyperlink r:id="rId8">
        <w:r w:rsidDel="00000000" w:rsidR="00000000" w:rsidRPr="00000000">
          <w:rPr>
            <w:color w:val="1155cc"/>
            <w:u w:val="single"/>
            <w:rtl w:val="0"/>
          </w:rPr>
          <w:t xml:space="preserve">oficiální složce</w:t>
        </w:r>
      </w:hyperlink>
      <w:r w:rsidDel="00000000" w:rsidR="00000000" w:rsidRPr="00000000">
        <w:rPr>
          <w:rtl w:val="0"/>
        </w:rPr>
        <w:t xml:space="preserve"> jsou připraveny dva klubové fonty:</w:t>
      </w:r>
    </w:p>
    <w:p w:rsidR="00000000" w:rsidDel="00000000" w:rsidP="00000000" w:rsidRDefault="00000000" w:rsidRPr="00000000" w14:paraId="0000004F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Primární font:</w:t>
      </w:r>
      <w:r w:rsidDel="00000000" w:rsidR="00000000" w:rsidRPr="00000000">
        <w:rPr>
          <w:rtl w:val="0"/>
        </w:rPr>
        <w:t xml:space="preserve"> Karantina</w:t>
        <w:br w:type="textWrapping"/>
      </w:r>
      <w:r w:rsidDel="00000000" w:rsidR="00000000" w:rsidRPr="00000000">
        <w:rPr>
          <w:b w:val="1"/>
          <w:bCs w:val="1"/>
          <w:rtl w:val="0"/>
        </w:rPr>
        <w:t xml:space="preserve">Sekundární font:</w:t>
      </w:r>
      <w:r w:rsidDel="00000000" w:rsidR="00000000" w:rsidRPr="00000000">
        <w:rPr>
          <w:rtl w:val="0"/>
        </w:rPr>
        <w:t xml:space="preserve"> Oregano</w:t>
      </w:r>
    </w:p>
    <w:p w:rsidR="00000000" w:rsidDel="00000000" w:rsidP="00000000" w:rsidRDefault="00000000" w:rsidRPr="00000000" w14:paraId="0000005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Pro všechny oficiální výstupy používejte výhradně fonty dostupné v této složce. Tyto verze jsou lehce upravené oproti originálním variantám a odpovídají aktuálnímu oficiálnímu logu klubu.</w:t>
      </w:r>
    </w:p>
    <w:p w:rsidR="00000000" w:rsidDel="00000000" w:rsidP="00000000" w:rsidRDefault="00000000" w:rsidRPr="00000000" w14:paraId="0000005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Primární font Karantina je určen zejména pro výrazné nadpisy, čísla a dominantní prvky (např. potisk oblečení). Postupně budou vytvořeny a přidávány i jiné verze tohoto fontu (Light varinta a další), které se budou používat např. pro delší texty.</w:t>
      </w:r>
    </w:p>
    <w:p w:rsidR="00000000" w:rsidDel="00000000" w:rsidP="00000000" w:rsidRDefault="00000000" w:rsidRPr="00000000" w14:paraId="0000005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Sekundární font Oregano slouží pro doplňkové texty a slogan “víc než jen sport”. Tento font se používá ve verzi </w:t>
      </w:r>
      <w:r w:rsidDel="00000000" w:rsidR="00000000" w:rsidRPr="00000000">
        <w:rPr>
          <w:i w:val="1"/>
          <w:iCs w:val="1"/>
          <w:rtl w:val="0"/>
        </w:rPr>
        <w:t xml:space="preserve">italic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5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Použití jiných fontů není bez předchozí konzultace povoleno</w:t>
      </w:r>
    </w:p>
    <w:p w:rsidR="00000000" w:rsidDel="00000000" w:rsidP="00000000" w:rsidRDefault="00000000" w:rsidRPr="00000000" w14:paraId="00000054">
      <w:pPr>
        <w:spacing w:after="240" w:befor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keepNext w:val="0"/>
        <w:keepLines w:val="0"/>
        <w:spacing w:after="8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Zápis názvu klubu</w:t>
      </w:r>
    </w:p>
    <w:p w:rsidR="00000000" w:rsidDel="00000000" w:rsidP="00000000" w:rsidRDefault="00000000" w:rsidRPr="00000000" w14:paraId="0000005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V nadpisech, na potiscích oblečení, dresech, bannerech a dalších dominantních vizuálních prvcích se název klubu zapisuje vždy: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HANDBALL ÚVALY</w:t>
      </w:r>
    </w:p>
    <w:p w:rsidR="00000000" w:rsidDel="00000000" w:rsidP="00000000" w:rsidRDefault="00000000" w:rsidRPr="00000000" w14:paraId="00000058">
      <w:pPr>
        <w:numPr>
          <w:ilvl w:val="0"/>
          <w:numId w:val="6"/>
        </w:numPr>
        <w:spacing w:after="0" w:afterAutospacing="0" w:before="24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vždy VELKÝMI PÍSMENY,</w:t>
      </w:r>
    </w:p>
    <w:p w:rsidR="00000000" w:rsidDel="00000000" w:rsidP="00000000" w:rsidRDefault="00000000" w:rsidRPr="00000000" w14:paraId="00000059">
      <w:pPr>
        <w:numPr>
          <w:ilvl w:val="0"/>
          <w:numId w:val="6"/>
        </w:numPr>
        <w:spacing w:after="0" w:afterAutospacing="0" w:before="0" w:beforeAutospacing="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bez zkracování,</w:t>
      </w:r>
    </w:p>
    <w:p w:rsidR="00000000" w:rsidDel="00000000" w:rsidP="00000000" w:rsidRDefault="00000000" w:rsidRPr="00000000" w14:paraId="0000005A">
      <w:pPr>
        <w:numPr>
          <w:ilvl w:val="0"/>
          <w:numId w:val="6"/>
        </w:numPr>
        <w:spacing w:after="0" w:afterAutospacing="0" w:before="0" w:beforeAutospacing="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bez kombinace malých a velkých písmen,</w:t>
      </w:r>
    </w:p>
    <w:p w:rsidR="00000000" w:rsidDel="00000000" w:rsidP="00000000" w:rsidRDefault="00000000" w:rsidRPr="00000000" w14:paraId="0000005B">
      <w:pPr>
        <w:numPr>
          <w:ilvl w:val="0"/>
          <w:numId w:val="6"/>
        </w:numPr>
        <w:spacing w:after="240" w:before="0" w:beforeAutospacing="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bez změny pořadí slov.</w:t>
      </w:r>
    </w:p>
    <w:p w:rsidR="00000000" w:rsidDel="00000000" w:rsidP="00000000" w:rsidRDefault="00000000" w:rsidRPr="00000000" w14:paraId="0000005C">
      <w:pPr>
        <w:rPr>
          <w:u w:val="single"/>
        </w:rPr>
      </w:pPr>
      <w:r w:rsidDel="00000000" w:rsidR="00000000" w:rsidRPr="00000000">
        <w:rPr>
          <w:u w:val="single"/>
          <w:rtl w:val="0"/>
        </w:rPr>
        <w:t xml:space="preserve">Nesprávné varianty zápisu:</w:t>
      </w:r>
    </w:p>
    <w:p w:rsidR="00000000" w:rsidDel="00000000" w:rsidP="00000000" w:rsidRDefault="00000000" w:rsidRPr="00000000" w14:paraId="0000005D">
      <w:pPr>
        <w:spacing w:after="240" w:before="24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❌ Handball Úvaly</w:t>
        <w:br w:type="textWrapping"/>
        <w:t xml:space="preserve">❌ Handball úvaly</w:t>
        <w:br w:type="textWrapping"/>
        <w:t xml:space="preserve">❌ HANDBALL Úvaly</w:t>
        <w:br w:type="textWrapping"/>
        <w:t xml:space="preserve">❌ HB Úvaly</w:t>
        <w:br w:type="textWrapping"/>
        <w:t xml:space="preserve">❌ Handball Uvaly</w:t>
      </w:r>
    </w:p>
    <w:p w:rsidR="00000000" w:rsidDel="00000000" w:rsidP="00000000" w:rsidRDefault="00000000" w:rsidRPr="00000000" w14:paraId="0000005E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rial Unicode M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cs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drive.google.com/file/d/1J_iVVrsWyvkBOqNtLabG6ru4kyr7UAX-/view?usp=share_link" TargetMode="External"/><Relationship Id="rId7" Type="http://schemas.openxmlformats.org/officeDocument/2006/relationships/hyperlink" Target="https://drive.google.com/drive/folders/1wKZjlIWqde5r--Zv10bTc5ACr1KlKji1?usp=share_link" TargetMode="External"/><Relationship Id="rId8" Type="http://schemas.openxmlformats.org/officeDocument/2006/relationships/hyperlink" Target="https://drive.google.com/drive/folders/1NJD34K-7PD3az6mS9m5KsRQH9uPag9Mg?usp=share_lin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